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trike/>
        </w:rPr>
      </w:pPr>
      <w:r>
        <w:rPr>
          <w:strike/>
        </w:rPr>
      </w:r>
    </w:p>
    <w:p>
      <w:pPr>
        <w:pStyle w:val="Normal"/>
        <w:keepNext w:val="true"/>
        <w:keepLines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выполнение работ</w:t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ОКПД 2: 43.99.90.100 Выполнение работ по ремонту гидротехнических сооружений и производственных зданий Филиала ПАО «РусГидро»-«Каскад Кубанских ГЭС» для нужд Кубанского филиала</w:t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>Лот № 0013-РЕМ ДОХ-2026-ГРВКК-КубФ</w:t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/>
      </w:r>
      <w:r>
        <w:br w:type="page"/>
      </w:r>
    </w:p>
    <w:p>
      <w:pPr>
        <w:pStyle w:val="Normal"/>
        <w:jc w:val="center"/>
        <w:rPr>
          <w:sz w:val="26"/>
          <w:szCs w:val="26"/>
        </w:rPr>
      </w:pPr>
      <w:r>
        <w:rPr>
          <w:b/>
        </w:rPr>
        <w:t>СОДЕРЖАНИЕ</w:t>
      </w:r>
    </w:p>
    <w:p>
      <w:pPr>
        <w:pStyle w:val="Normal"/>
        <w:ind w:right="-57" w:hanging="0"/>
        <w:rPr/>
      </w:pPr>
      <w:r>
        <w:rPr>
          <w:b/>
          <w:sz w:val="22"/>
          <w:szCs w:val="22"/>
        </w:rPr>
        <w:t>1.</w:t>
      </w:r>
      <w:r>
        <w:rPr>
          <w:b/>
        </w:rPr>
        <w:t xml:space="preserve"> </w:t>
      </w:r>
      <w:bookmarkStart w:id="0" w:name="_Toc51339692_Копия_1"/>
      <w:bookmarkStart w:id="1" w:name="_Toc124516412_Копия_1"/>
      <w:r>
        <w:rPr>
          <w:b/>
          <w:sz w:val="24"/>
          <w:szCs w:val="24"/>
        </w:rPr>
        <w:t>Общие сведения …………………………………………………………………………………</w:t>
      </w:r>
      <w:bookmarkEnd w:id="0"/>
      <w:bookmarkEnd w:id="1"/>
      <w:r>
        <w:rPr>
          <w:b/>
          <w:sz w:val="24"/>
          <w:szCs w:val="24"/>
        </w:rPr>
        <w:t>...3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r>
            <w:fldChar w:fldCharType="begin"/>
          </w:r>
          <w:r>
            <w:rPr>
              <w:rStyle w:val="Style15"/>
            </w:rPr>
            <w:instrText xml:space="preserve"> TOC \o "1-4" \h</w:instrText>
          </w:r>
          <w:r>
            <w:rPr>
              <w:rStyle w:val="Style15"/>
            </w:rPr>
            <w:fldChar w:fldCharType="separate"/>
          </w:r>
          <w:hyperlink w:anchor="__RefHeading___Toc2067_1456059687">
            <w:r>
              <w:rPr>
                <w:rStyle w:val="Style15"/>
              </w:rPr>
              <w:t>1.1. Обозначения и сокращения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69_1456059687">
            <w:r>
              <w:rPr>
                <w:rStyle w:val="Style15"/>
              </w:rPr>
              <w:t>1.2. Наименование закупаемой продукции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1_1456059687">
            <w:r>
              <w:rPr>
                <w:rStyle w:val="Style15"/>
              </w:rPr>
              <w:t>1.3. Цель выполнение работ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3_1456059687">
            <w:r>
              <w:rPr>
                <w:rStyle w:val="Style15"/>
              </w:rPr>
              <w:t>1.4. Существующее положение</w:t>
              <w:tab/>
              <w:t>3</w:t>
            </w:r>
          </w:hyperlink>
        </w:p>
        <w:p>
          <w:pPr>
            <w:pStyle w:val="Normal"/>
            <w:tabs>
              <w:tab w:val="clear" w:pos="708"/>
              <w:tab w:val="right" w:pos="9825" w:leader="dot"/>
            </w:tabs>
            <w:rPr/>
          </w:pPr>
          <w:r>
            <w:rPr>
              <w:b/>
              <w:bCs/>
              <w:sz w:val="24"/>
              <w:szCs w:val="24"/>
            </w:rPr>
            <w:t>Таблица 1. Перечень объектов заказчика</w:t>
          </w:r>
          <w:r>
            <w:rPr/>
            <w:tab/>
          </w:r>
          <w:r>
            <w:rPr>
              <w:sz w:val="24"/>
              <w:szCs w:val="24"/>
            </w:rPr>
            <w:t>3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5_1456059687">
            <w:r>
              <w:rPr>
                <w:rStyle w:val="Style15"/>
              </w:rPr>
              <w:t>1.5.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      <w:tab/>
            </w:r>
          </w:hyperlink>
          <w:r>
            <w:rPr/>
            <w:t>5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77_1456059687">
            <w:r>
              <w:rPr>
                <w:rStyle w:val="Style15"/>
              </w:rPr>
              <w:t>2. Требования к продукции</w:t>
              <w:tab/>
            </w:r>
          </w:hyperlink>
          <w:r>
            <w:rPr/>
            <w:t>5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1_1456059687">
            <w:r>
              <w:rPr>
                <w:rStyle w:val="Style15"/>
              </w:rPr>
              <w:t>2.1. Требования к объемам и срокам выполнения работ</w:t>
              <w:tab/>
            </w:r>
          </w:hyperlink>
          <w:r>
            <w:rPr/>
            <w:t>5</w:t>
          </w:r>
        </w:p>
        <w:p>
          <w:pPr>
            <w:pStyle w:val="TOC3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3_1456059687">
            <w:r>
              <w:rPr>
                <w:rStyle w:val="Style15"/>
              </w:rPr>
              <w:t>2.1.1. Требования к видам и объемам работ</w:t>
              <w:tab/>
            </w:r>
          </w:hyperlink>
          <w:r>
            <w:rPr/>
            <w:t>5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85_1456059687">
            <w:r>
              <w:rPr>
                <w:rStyle w:val="Style15"/>
              </w:rPr>
              <w:t>Таблица 2. Перечень и объем выполняемых работ</w:t>
              <w:tab/>
            </w:r>
          </w:hyperlink>
          <w:r>
            <w:rPr/>
            <w:t>5</w:t>
          </w:r>
        </w:p>
        <w:p>
          <w:pPr>
            <w:pStyle w:val="TOC3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7_1456059687">
            <w:r>
              <w:rPr>
                <w:rStyle w:val="Style15"/>
              </w:rPr>
              <w:t>2.1.2. Требования к срокам выполнения работ</w:t>
              <w:tab/>
            </w:r>
          </w:hyperlink>
          <w:r>
            <w:rPr/>
            <w:t>6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89_1456059687">
            <w:r>
              <w:rPr>
                <w:rStyle w:val="Style15"/>
              </w:rPr>
              <w:t>Таблица 3. Требования по срокам выполнения работ</w:t>
              <w:tab/>
            </w:r>
          </w:hyperlink>
          <w:r>
            <w:rPr/>
            <w:t>6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91_1456059687">
            <w:r>
              <w:rPr>
                <w:rStyle w:val="Style15"/>
              </w:rPr>
              <w:t>2.2. Требования к качеству работ</w:t>
              <w:tab/>
            </w:r>
          </w:hyperlink>
          <w:r>
            <w:rPr/>
            <w:t>8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3_1456059687">
            <w:r>
              <w:rPr>
                <w:rStyle w:val="Style15"/>
              </w:rPr>
              <w:t>Таблица 4. Требования к качеству работ</w:t>
              <w:tab/>
            </w:r>
          </w:hyperlink>
          <w:r>
            <w:rPr/>
            <w:t>8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5_1456059687">
            <w:r>
              <w:rPr>
                <w:rStyle w:val="Style15"/>
              </w:rPr>
              <w:t>3. Требования к документации по ценообразованию на этапе закупки</w:t>
              <w:tab/>
            </w:r>
          </w:hyperlink>
          <w:r>
            <w:rPr/>
            <w:t>16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7_1456059687">
            <w:r>
              <w:rPr>
                <w:rStyle w:val="Style15"/>
              </w:rPr>
              <w:t>4. Требования к документации по ценообразованию на этапе заключения (исполнения) договора</w:t>
              <w:tab/>
            </w:r>
          </w:hyperlink>
          <w:r>
            <w:rPr/>
            <w:t>16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9_1456059687">
            <w:r>
              <w:rPr>
                <w:rStyle w:val="Style15"/>
              </w:rPr>
              <w:t>5. Приложения</w:t>
              <w:tab/>
            </w:r>
          </w:hyperlink>
          <w:r>
            <w:rPr/>
            <w:t>16</w:t>
          </w:r>
          <w:r>
            <w:rPr/>
            <w:fldChar w:fldCharType="end"/>
          </w:r>
        </w:p>
      </w:sdtContent>
    </w:sdt>
    <w:p>
      <w:pPr>
        <w:pStyle w:val="BodyText"/>
        <w:jc w:val="center"/>
        <w:rPr>
          <w:b/>
          <w:caps/>
          <w:sz w:val="24"/>
          <w:szCs w:val="24"/>
        </w:rPr>
      </w:pPr>
      <w:r>
        <w:br w:type="page"/>
      </w:r>
      <w:r>
        <w:rPr>
          <w:rFonts w:eastAsia="Calibri"/>
          <w:b/>
          <w:sz w:val="24"/>
          <w:szCs w:val="24"/>
        </w:rPr>
        <w:t>1.</w:t>
      </w:r>
      <w:r>
        <w:rPr>
          <w:rFonts w:eastAsia="Calibri"/>
          <w:b/>
          <w:i/>
          <w:sz w:val="24"/>
          <w:szCs w:val="24"/>
        </w:rPr>
        <w:t xml:space="preserve"> </w:t>
      </w:r>
      <w:bookmarkStart w:id="2" w:name="_Toc51339692"/>
      <w:bookmarkStart w:id="3" w:name="_Toc124516412"/>
      <w:r>
        <w:rPr>
          <w:b/>
          <w:sz w:val="24"/>
          <w:szCs w:val="24"/>
        </w:rPr>
        <w:t>Общие сведения</w:t>
      </w:r>
      <w:bookmarkEnd w:id="2"/>
      <w:bookmarkEnd w:id="3"/>
    </w:p>
    <w:p>
      <w:pPr>
        <w:pStyle w:val="Heading4"/>
        <w:numPr>
          <w:ilvl w:val="1"/>
          <w:numId w:val="3"/>
        </w:numPr>
        <w:ind w:left="567" w:hanging="567"/>
        <w:rPr/>
      </w:pPr>
      <w:bookmarkStart w:id="4" w:name="__RefHeading___Toc2067_1456059687"/>
      <w:bookmarkStart w:id="5" w:name="_Toc46743505"/>
      <w:bookmarkStart w:id="6" w:name="_Toc124516413"/>
      <w:bookmarkEnd w:id="4"/>
      <w:r>
        <w:rPr/>
        <w:t>Обозначения и сокращения</w:t>
      </w:r>
      <w:bookmarkEnd w:id="5"/>
      <w:bookmarkEnd w:id="6"/>
    </w:p>
    <w:p>
      <w:pPr>
        <w:pStyle w:val="Normal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</w:p>
    <w:tbl>
      <w:tblPr>
        <w:tblW w:w="10031" w:type="dxa"/>
        <w:jc w:val="left"/>
        <w:tblInd w:w="2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779"/>
        <w:gridCol w:w="8251"/>
      </w:tblGrid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СТО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ККГЭС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Каскад Кубанских ГЭС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ПЗ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Производственное здание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РЗ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Рабочее задание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СТО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подрядчик</w:t>
            </w:r>
          </w:p>
        </w:tc>
        <w:tc>
          <w:tcPr>
            <w:tcW w:w="8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«Гидроремонт-ВКК»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8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«РусГидро»-«Каскад Кубанских ГЭС»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ППР</w:t>
            </w:r>
          </w:p>
        </w:tc>
        <w:tc>
          <w:tcPr>
            <w:tcW w:w="8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Производства Работ</w:t>
            </w:r>
          </w:p>
        </w:tc>
      </w:tr>
    </w:tbl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ind w:left="567" w:hanging="567"/>
        <w:rPr/>
      </w:pPr>
      <w:bookmarkStart w:id="7" w:name="__RefHeading___Toc2069_1456059687"/>
      <w:bookmarkStart w:id="8" w:name="_Toc124516414"/>
      <w:bookmarkEnd w:id="7"/>
      <w:r>
        <w:rPr/>
        <w:t>Наименование закупаемой продукции</w:t>
      </w:r>
      <w:bookmarkEnd w:id="8"/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/>
      </w:pPr>
      <w:r>
        <w:rPr>
          <w:sz w:val="24"/>
          <w:szCs w:val="24"/>
        </w:rPr>
        <w:t>ОКПД 2: 43.99.90.100 Выполнение работ по ремонту гидротехнических сооружений и производственных зданий Филиала ПАО «РусГидро»-«Каскад Кубанских ГЭС» для нужд Кубанского филиала (далее – работы).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9" w:name="__RefHeading___Toc2071_1456059687"/>
      <w:bookmarkEnd w:id="9"/>
      <w:r>
        <w:rPr>
          <w:lang w:val="ru-RU"/>
        </w:rPr>
        <w:t>Цель выполнение работ</w:t>
      </w:r>
      <w:r>
        <w:rPr/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/>
      </w:pPr>
      <w:r>
        <w:rPr>
          <w:sz w:val="24"/>
          <w:szCs w:val="24"/>
        </w:rPr>
        <w:t>Исполнение доходного договора: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/>
      </w:pPr>
      <w:r>
        <w:rPr>
          <w:sz w:val="24"/>
          <w:szCs w:val="24"/>
        </w:rPr>
        <w:t>-№ 1210-343-2023 от 03.11.2023 «Капитальный и текущий ремонт оборудования, зданий и сооружений ККГЭС» ПАО «РусГидро» - «Каскад Кубанских ГЭС», заключенного между Филиалом ПАО «РусГидро»-«Каскад Кубанских ГЭС» и АО «Гидроремонт-ВКК».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Heading4"/>
        <w:numPr>
          <w:ilvl w:val="1"/>
          <w:numId w:val="3"/>
        </w:numPr>
        <w:rPr>
          <w:lang w:val="ru-RU"/>
        </w:rPr>
      </w:pPr>
      <w:bookmarkStart w:id="10" w:name="__RefHeading___Toc2073_1456059687"/>
      <w:bookmarkEnd w:id="10"/>
      <w:r>
        <w:rPr/>
        <w:t>Существу</w:t>
      </w:r>
      <w:r>
        <w:rPr>
          <w:lang w:val="ru-RU"/>
        </w:rPr>
        <w:t>ющее положение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bCs/>
          <w:sz w:val="24"/>
          <w:szCs w:val="24"/>
        </w:rPr>
      </w:pPr>
      <w:r>
        <w:rPr>
          <w:bCs/>
          <w:sz w:val="24"/>
          <w:szCs w:val="24"/>
          <w:lang w:eastAsia="x-none"/>
        </w:rPr>
        <w:t>«Строительная площадка» или «Стройплощадка» – предоставляется Субподрядчику по акту для выполнения работ.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Таблица 1. Перечень объектов заказчика</w:t>
      </w:r>
    </w:p>
    <w:tbl>
      <w:tblPr>
        <w:tblW w:w="1033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675"/>
        <w:gridCol w:w="2827"/>
        <w:gridCol w:w="2560"/>
        <w:gridCol w:w="2717"/>
        <w:gridCol w:w="1559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  <w:t>(место производства работ)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деформационных швов устоя и отводящего канала ГЭС-1 (РЗ 258919)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Российская Федерация, Карачаево-Черкесская Республика, Прикубанский район, 61 км Большого Ставропольского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</w:rPr>
            </w:pPr>
            <w:r>
              <w:rPr>
                <w:sz w:val="24"/>
              </w:rPr>
              <w:t>Отводящий канал от ГЭС-1 длиной 120м. Литер 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т/о швов ГЭС-1 ХВ ОтК (РЗ 258920)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Российская Федерация, Карачаево-Черкесская Республика, Прикубанский район, 61 км Большого Ставропольского</w:t>
            </w:r>
          </w:p>
        </w:tc>
        <w:tc>
          <w:tcPr>
            <w:tcW w:w="2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</w:rPr>
            </w:pPr>
            <w:r>
              <w:rPr>
                <w:sz w:val="24"/>
              </w:rPr>
              <w:t>Отводящий канал от холостого водосброса ГЭС-1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цоколя здания управления Сенгилеевской группы ГЭС (РЗ 254797)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Российская Федерация, Ставропольский край, Шпаковский район, пос. Приозерный</w:t>
            </w:r>
          </w:p>
        </w:tc>
        <w:tc>
          <w:tcPr>
            <w:tcW w:w="2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</w:rPr>
            </w:pPr>
            <w:r>
              <w:rPr>
                <w:sz w:val="24"/>
              </w:rPr>
              <w:t>Контора Сенгилеевской ГЭС (Нежилое здание Административное пл.510,2м2)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бетонной площадки на пристанционной территории Новотроицкой ГЭС (РЗ 258385)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Федерация, Ставропольский край, Изобильненский район, пгт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Солнечнодольск, микрорайон Пионерный, пер. Заводской, 2А</w:t>
            </w:r>
          </w:p>
        </w:tc>
        <w:tc>
          <w:tcPr>
            <w:tcW w:w="2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</w:rPr>
            </w:pPr>
            <w:r>
              <w:rPr>
                <w:sz w:val="24"/>
              </w:rPr>
              <w:t>Здание ГЭС (Новотроицкая ГЭС)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металлической кровли (покраска) Здание ГЭС-1 (РЗ 258921)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Российская Федерация, Карачаево-Черкесская Республика, Прикубанский район, 61 км Большого Ставропольского</w:t>
            </w:r>
          </w:p>
        </w:tc>
        <w:tc>
          <w:tcPr>
            <w:tcW w:w="2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</w:rPr>
            </w:pPr>
            <w:r>
              <w:rPr>
                <w:sz w:val="24"/>
              </w:rPr>
              <w:t>Здание ГЭС-1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водоотводного лотка по левой стороне напорных трубопроводов ГЭС-1 (РЗ 258926)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Российская Федерация, Карачаево-Черкесская Республика, Прикубанский район, 61 км Большого Ставропольского</w:t>
            </w:r>
          </w:p>
        </w:tc>
        <w:tc>
          <w:tcPr>
            <w:tcW w:w="2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</w:rPr>
            </w:pPr>
            <w:r>
              <w:rPr>
                <w:sz w:val="24"/>
              </w:rPr>
              <w:t>Напорный трубопровод ГЭС-1, 1440 п.м. Литер III.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плит крепления откоса на северной дамбе БСР ГЭС-4 (РЗ 259199)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 w:val="fals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x-none"/>
              </w:rPr>
              <w:t>Российская Федерация, Ставропольский край, Кочубеевский район, 7850 м по направлению на юго-запад от центральной части села Дворцовское</w:t>
            </w:r>
          </w:p>
        </w:tc>
        <w:tc>
          <w:tcPr>
            <w:tcW w:w="2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</w:rPr>
            </w:pPr>
            <w:r>
              <w:rPr>
                <w:sz w:val="24"/>
              </w:rPr>
              <w:t>Бассейн суточного регулирования ГЭС-4 с дамбами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контейнера водолазного комплекса Инв номер 12101040000024580000 (РЗ 243589)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 w:val="fals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x-none"/>
              </w:rPr>
              <w:t>Российская Федерация, Карачаево-Черкесская Республика, Прикубанский район, поселок Ударный</w:t>
            </w:r>
          </w:p>
        </w:tc>
        <w:tc>
          <w:tcPr>
            <w:tcW w:w="2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</w:rPr>
            </w:pPr>
            <w:r>
              <w:rPr>
                <w:sz w:val="24"/>
              </w:rPr>
              <w:t>Комплекс контейнерный водолазный (КВК)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фундамента под контейнерный водолазный комплекс (РЗ 246245 )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 w:val="fals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Федерация, Карачаево-Черкесская Республика, Прикубанский район, поселок Ударный</w:t>
            </w:r>
          </w:p>
        </w:tc>
        <w:tc>
          <w:tcPr>
            <w:tcW w:w="2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</w:rPr>
            </w:pPr>
            <w:r>
              <w:rPr>
                <w:sz w:val="24"/>
              </w:rPr>
              <w:t>Комплекс контейнерный водолазный (КВК)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кабинета №1 на 3 этаже (РЗ 255903)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 w:val="fals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x-none"/>
              </w:rPr>
              <w:t>Российская Федерация, Карачаево-Черкесская Республика, Прикубанский район, поселок Ударный</w:t>
            </w:r>
          </w:p>
        </w:tc>
        <w:tc>
          <w:tcPr>
            <w:tcW w:w="2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</w:rPr>
            </w:pPr>
            <w:r>
              <w:rPr>
                <w:sz w:val="24"/>
              </w:rPr>
              <w:t>Здание управления Каскада, площадью 1481,9 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паркетных полов Здания управления Куршавской группы ГЭС КК0000013 (РЗ 241420)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 w:val="false"/>
              <w:spacing w:before="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Федерация, Карачаево-Черкесская Республика, Прикубанский район, поселок Ударный</w:t>
            </w:r>
          </w:p>
        </w:tc>
        <w:tc>
          <w:tcPr>
            <w:tcW w:w="2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</w:rPr>
            </w:pPr>
            <w:r>
              <w:rPr>
                <w:sz w:val="24"/>
              </w:rPr>
              <w:t>Здание управления Каскада, площадью 1481,9 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полов здания управления Сенгилеевской ГЭС (РЗ 254783)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Российская Федерация, Ставропольский край, Шпаковский район, пос. Приозерный</w:t>
            </w:r>
          </w:p>
        </w:tc>
        <w:tc>
          <w:tcPr>
            <w:tcW w:w="2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</w:rPr>
            </w:pPr>
            <w:r>
              <w:rPr>
                <w:sz w:val="24"/>
              </w:rPr>
              <w:t>Контора Сенгилеевской ГЭС (Нежилое здание Административное пл.510,2м2)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Heading4"/>
        <w:tabs>
          <w:tab w:val="clear" w:pos="0"/>
          <w:tab w:val="left" w:pos="735" w:leader="none"/>
          <w:tab w:val="left" w:pos="960" w:leader="none"/>
        </w:tabs>
        <w:ind w:left="567" w:hanging="0"/>
        <w:rPr>
          <w:i/>
          <w:i/>
          <w:iCs/>
        </w:rPr>
      </w:pPr>
      <w:r>
        <w:rPr>
          <w:i/>
          <w:iCs/>
        </w:rPr>
      </w:r>
    </w:p>
    <w:p>
      <w:pPr>
        <w:pStyle w:val="Heading4"/>
        <w:numPr>
          <w:ilvl w:val="1"/>
          <w:numId w:val="3"/>
        </w:numPr>
        <w:tabs>
          <w:tab w:val="clear" w:pos="960"/>
          <w:tab w:val="left" w:pos="0" w:leader="none"/>
          <w:tab w:val="left" w:pos="450" w:leader="none"/>
          <w:tab w:val="left" w:pos="735" w:leader="none"/>
          <w:tab w:val="left" w:pos="930" w:leader="none"/>
        </w:tabs>
        <w:ind w:left="0" w:hanging="0"/>
        <w:rPr/>
      </w:pPr>
      <w:bookmarkStart w:id="11" w:name="__RefHeading___Toc2075_1456059687_Копия_"/>
      <w:bookmarkStart w:id="12" w:name="_Toc46743509_Копия_1"/>
      <w:bookmarkStart w:id="13" w:name="_Hlk49857604_Копия_1"/>
      <w:bookmarkEnd w:id="11"/>
      <w:r>
        <w:rPr/>
        <w:t xml:space="preserve">Информация в отношении исполнения договора, </w:t>
      </w:r>
      <w:bookmarkStart w:id="14" w:name="_Hlk46492347_Копия_1"/>
      <w:r>
        <w:rPr/>
        <w:t xml:space="preserve">которая должна быть учтена при подготовке заявки </w:t>
      </w:r>
      <w:bookmarkEnd w:id="14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</w:t>
      </w:r>
      <w:r>
        <w:rPr>
          <w:lang w:val="ru-RU"/>
        </w:rPr>
        <w:t xml:space="preserve"> </w:t>
      </w:r>
      <w:r>
        <w:rPr/>
        <w:t>этапе исполнения договора)</w:t>
      </w:r>
      <w:bookmarkEnd w:id="12"/>
      <w:bookmarkEnd w:id="13"/>
    </w:p>
    <w:p>
      <w:pPr>
        <w:pStyle w:val="Normal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Представление помещений:</w:t>
      </w:r>
    </w:p>
    <w:p>
      <w:pPr>
        <w:pStyle w:val="Normal"/>
        <w:jc w:val="both"/>
        <w:rPr/>
      </w:pPr>
      <w:r>
        <w:rPr>
          <w:sz w:val="24"/>
          <w:szCs w:val="24"/>
          <w:lang w:eastAsia="x-none"/>
        </w:rPr>
        <w:t xml:space="preserve">- складские помещения и/или </w:t>
      </w:r>
      <w:r>
        <w:rPr>
          <w:bCs/>
          <w:sz w:val="24"/>
          <w:szCs w:val="24"/>
          <w:lang w:eastAsia="x-none"/>
        </w:rPr>
        <w:t>площадки для погрузки/разгрузки и складирования/хранения материально-технических ресурсов, оборудования Подрядчика, а также давальческих материалов и запасных частей, оборудования Заказчика</w:t>
      </w:r>
      <w:r>
        <w:rPr>
          <w:sz w:val="24"/>
          <w:szCs w:val="24"/>
          <w:lang w:eastAsia="x-none"/>
        </w:rPr>
        <w:t>.</w:t>
      </w:r>
    </w:p>
    <w:p>
      <w:pPr>
        <w:pStyle w:val="Heading4"/>
        <w:tabs>
          <w:tab w:val="clear" w:pos="0"/>
          <w:tab w:val="left" w:pos="735" w:leader="none"/>
          <w:tab w:val="left" w:pos="960" w:leader="none"/>
        </w:tabs>
        <w:ind w:left="567" w:hanging="0"/>
        <w:rPr/>
      </w:pPr>
      <w:bookmarkStart w:id="15" w:name="_Toc54646398"/>
      <w:bookmarkStart w:id="16" w:name="_Toc46743507"/>
      <w:r>
        <w:rPr/>
        <w:t xml:space="preserve"> </w:t>
      </w:r>
      <w:bookmarkEnd w:id="15"/>
      <w:bookmarkEnd w:id="16"/>
    </w:p>
    <w:p>
      <w:pPr>
        <w:pStyle w:val="Heading1"/>
        <w:numPr>
          <w:ilvl w:val="0"/>
          <w:numId w:val="3"/>
        </w:numPr>
        <w:ind w:left="3175" w:hanging="0"/>
        <w:rPr>
          <w:caps/>
          <w:sz w:val="24"/>
          <w:szCs w:val="24"/>
          <w:lang w:val="ru-RU"/>
        </w:rPr>
      </w:pPr>
      <w:bookmarkStart w:id="17" w:name="__RefHeading___Toc2079_1456059687"/>
      <w:bookmarkStart w:id="18" w:name="_Toc51339693"/>
      <w:bookmarkStart w:id="19" w:name="_Toc124516416"/>
      <w:bookmarkStart w:id="20" w:name="_Toc50125126"/>
      <w:bookmarkEnd w:id="17"/>
      <w:bookmarkEnd w:id="20"/>
      <w:r>
        <w:rPr>
          <w:sz w:val="24"/>
          <w:szCs w:val="24"/>
        </w:rPr>
        <w:t>Требования к продукции</w:t>
      </w:r>
      <w:bookmarkEnd w:id="18"/>
      <w:bookmarkEnd w:id="19"/>
    </w:p>
    <w:p>
      <w:pPr>
        <w:pStyle w:val="Normal"/>
        <w:numPr>
          <w:ilvl w:val="0"/>
          <w:numId w:val="0"/>
        </w:numPr>
        <w:ind w:left="3175" w:hanging="0"/>
        <w:outlineLvl w:val="0"/>
        <w:rPr>
          <w:caps/>
          <w:sz w:val="24"/>
          <w:szCs w:val="24"/>
        </w:rPr>
      </w:pPr>
      <w:r>
        <w:rPr>
          <w:caps/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21" w:name="__RefHeading___Toc2081_1456059687"/>
      <w:bookmarkStart w:id="22" w:name="_Toc124516417"/>
      <w:bookmarkEnd w:id="21"/>
      <w:r>
        <w:rPr/>
        <w:t xml:space="preserve">Требования к объемам и срокам </w:t>
      </w:r>
      <w:r>
        <w:rPr>
          <w:lang w:val="ru-RU"/>
        </w:rPr>
        <w:t>выполнения рабо</w:t>
      </w:r>
      <w:bookmarkEnd w:id="22"/>
      <w:r>
        <w:rPr>
          <w:lang w:val="ru-RU"/>
        </w:rPr>
        <w:t>т</w:t>
      </w:r>
    </w:p>
    <w:p>
      <w:pPr>
        <w:pStyle w:val="Normal"/>
        <w:ind w:left="432" w:hanging="432"/>
        <w:rPr/>
      </w:pPr>
      <w:r>
        <w:rPr/>
      </w:r>
    </w:p>
    <w:p>
      <w:pPr>
        <w:pStyle w:val="Heading3"/>
        <w:numPr>
          <w:ilvl w:val="2"/>
          <w:numId w:val="3"/>
        </w:numPr>
        <w:rPr/>
      </w:pPr>
      <w:bookmarkStart w:id="23" w:name="__RefHeading___Toc2083_1456059687"/>
      <w:bookmarkStart w:id="24" w:name="_Toc124516418"/>
      <w:bookmarkEnd w:id="23"/>
      <w:r>
        <w:rPr/>
        <w:t>Требования к видам и объемам работ</w:t>
      </w:r>
      <w:bookmarkEnd w:id="24"/>
    </w:p>
    <w:p>
      <w:pPr>
        <w:pStyle w:val="Normal"/>
        <w:ind w:left="1072" w:hanging="504"/>
        <w:rPr>
          <w:rFonts w:eastAsia="Calibri"/>
          <w:b/>
          <w:sz w:val="24"/>
          <w:szCs w:val="24"/>
          <w:lang w:val="x-none" w:eastAsia="x-none"/>
        </w:rPr>
      </w:pPr>
      <w:r>
        <w:rPr>
          <w:rFonts w:eastAsia="Calibri"/>
          <w:b/>
          <w:sz w:val="24"/>
          <w:szCs w:val="24"/>
          <w:lang w:val="x-none" w:eastAsia="x-none"/>
        </w:rPr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/>
      </w:pPr>
      <w:bookmarkStart w:id="25" w:name="__RefHeading___Toc2085_1456059687"/>
      <w:bookmarkStart w:id="26" w:name="_Toc124516419"/>
      <w:bookmarkStart w:id="27" w:name="_Toc51339695"/>
      <w:bookmarkEnd w:id="25"/>
      <w:r>
        <w:rPr>
          <w:sz w:val="24"/>
          <w:szCs w:val="24"/>
        </w:rPr>
        <w:t xml:space="preserve">Таблица 2. Перечень </w:t>
      </w:r>
      <w:bookmarkEnd w:id="27"/>
      <w:r>
        <w:rPr>
          <w:sz w:val="24"/>
          <w:szCs w:val="24"/>
        </w:rPr>
        <w:t>и объем выполняемых работ</w:t>
      </w:r>
      <w:bookmarkEnd w:id="26"/>
    </w:p>
    <w:tbl>
      <w:tblPr>
        <w:tblW w:w="9952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001"/>
        <w:gridCol w:w="4838"/>
        <w:gridCol w:w="2036"/>
        <w:gridCol w:w="2076"/>
      </w:tblGrid>
      <w:tr>
        <w:trPr/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>
          <w:trHeight w:val="246" w:hRule="atLeast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100" w:hRule="atLeast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деформационных швов устоя и отводящего канала ГЭС-1 (РЗ 258919)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т/о швов ГЭС-1 ХВ ОтК  (РЗ 258920)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2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цоколя здания управления Сенгилеевской группы ГЭС (РЗ 254797)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3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бетонной площадки на пристанционной территории Новотроицкой ГЭС (РЗ 258385)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4,13,14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металлической кровли (покраска) Здание ГЭС-1 (РЗ 258921)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5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водоотводного лотка по левой стороне напорных трубопроводов ГЭС-1 (РЗ 258926)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6,15,16,17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плит крепления откоса на северной дамбе БСР ГЭС-4 (РЗ 259199)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7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контейнера водолазного комплекса Инв номер 12101040000024580000 (РЗ 243589)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8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фундамента под контейнерный водолазный комплекс (РЗ 246245 )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9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кабинета №1 на 3 этаже (РЗ 255903)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10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паркетных полов Здания управления Куршавской группы ГЭС КК0000013 (РЗ 241420)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11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полов здания управления Сенгилеевской ГЭС (РЗ 254783)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12 (Приложение №3 к настоящим Техническим требованиям)</w:t>
            </w:r>
          </w:p>
        </w:tc>
      </w:tr>
    </w:tbl>
    <w:p>
      <w:pPr>
        <w:pStyle w:val="Heading3"/>
        <w:tabs>
          <w:tab w:val="clear" w:pos="0"/>
          <w:tab w:val="left" w:pos="735" w:leader="none"/>
          <w:tab w:val="left" w:pos="960" w:leader="none"/>
        </w:tabs>
        <w:ind w:left="1072" w:hanging="0"/>
        <w:rPr/>
      </w:pPr>
      <w:r>
        <w:rPr/>
      </w:r>
    </w:p>
    <w:p>
      <w:pPr>
        <w:pStyle w:val="Heading3"/>
        <w:numPr>
          <w:ilvl w:val="2"/>
          <w:numId w:val="3"/>
        </w:numPr>
        <w:rPr/>
      </w:pPr>
      <w:bookmarkStart w:id="28" w:name="__RefHeading___Toc2087_1456059687"/>
      <w:bookmarkStart w:id="29" w:name="_Toc124516420"/>
      <w:bookmarkStart w:id="30" w:name="_Toc51339696"/>
      <w:bookmarkEnd w:id="28"/>
      <w:r>
        <w:rPr/>
        <w:t xml:space="preserve">Требования </w:t>
      </w:r>
      <w:bookmarkEnd w:id="30"/>
      <w:r>
        <w:rPr/>
        <w:t>к срокам выполнения работ</w:t>
      </w:r>
      <w:bookmarkEnd w:id="29"/>
    </w:p>
    <w:p>
      <w:pPr>
        <w:pStyle w:val="Normal"/>
        <w:ind w:left="1072" w:hanging="504"/>
        <w:rPr/>
      </w:pPr>
      <w:r>
        <w:rPr/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  <w:lang w:val="ru-RU"/>
        </w:rPr>
      </w:pPr>
      <w:bookmarkStart w:id="31" w:name="__RefHeading___Toc2089_1456059687"/>
      <w:bookmarkStart w:id="32" w:name="_Toc124516421"/>
      <w:bookmarkStart w:id="33" w:name="_Toc51339697"/>
      <w:bookmarkStart w:id="34" w:name="_Toc50125127"/>
      <w:bookmarkStart w:id="35" w:name="_Toc50125126_Копия_1"/>
      <w:bookmarkEnd w:id="31"/>
      <w:bookmarkEnd w:id="3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6" w:name="_Hlk50465284"/>
      <w:r>
        <w:rPr>
          <w:sz w:val="24"/>
          <w:szCs w:val="24"/>
        </w:rPr>
        <w:t xml:space="preserve">Требования по срокам </w:t>
      </w:r>
      <w:bookmarkEnd w:id="33"/>
      <w:bookmarkEnd w:id="34"/>
      <w:bookmarkEnd w:id="36"/>
      <w:r>
        <w:rPr>
          <w:sz w:val="24"/>
          <w:szCs w:val="24"/>
          <w:lang w:val="ru-RU"/>
        </w:rPr>
        <w:t>выполнения работ</w:t>
      </w:r>
      <w:bookmarkEnd w:id="32"/>
    </w:p>
    <w:tbl>
      <w:tblPr>
        <w:tblW w:w="977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134"/>
        <w:gridCol w:w="3661"/>
        <w:gridCol w:w="1872"/>
        <w:gridCol w:w="3108"/>
      </w:tblGrid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работ*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 </w:t>
            </w:r>
            <w:bookmarkStart w:id="37" w:name="_GoBack"/>
            <w:bookmarkEnd w:id="37"/>
            <w:r>
              <w:rPr>
                <w:sz w:val="24"/>
                <w:szCs w:val="24"/>
              </w:rPr>
              <w:t>/ этапа работ*</w:t>
            </w:r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bookmarkStart w:id="38" w:name="_Toc46743510"/>
            <w:r>
              <w:rPr>
                <w:b/>
                <w:sz w:val="24"/>
                <w:szCs w:val="24"/>
              </w:rPr>
              <w:t>4</w:t>
            </w:r>
            <w:bookmarkEnd w:id="38"/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деформационных швов устоя и отводящего канала ГЭС-1 (РЗ 258919)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с </w:t>
            </w:r>
            <w:r>
              <w:rPr>
                <w:sz w:val="24"/>
                <w:szCs w:val="24"/>
              </w:rPr>
              <w:t>даты подписания договора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Не позднее </w:t>
            </w:r>
            <w:r>
              <w:rPr>
                <w:sz w:val="24"/>
                <w:szCs w:val="24"/>
                <w:lang w:val="en-US"/>
              </w:rPr>
              <w:t>30.04.2026</w:t>
            </w:r>
          </w:p>
        </w:tc>
      </w:tr>
      <w:tr>
        <w:trPr/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т/о швов ГЭС-1 ХВ ОтК  (РЗ 258920)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с </w:t>
            </w:r>
            <w:r>
              <w:rPr>
                <w:sz w:val="24"/>
                <w:szCs w:val="24"/>
              </w:rPr>
              <w:t>даты подписания договора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Не позднее </w:t>
            </w:r>
            <w:r>
              <w:rPr>
                <w:sz w:val="24"/>
                <w:szCs w:val="24"/>
                <w:lang w:val="en-US"/>
              </w:rPr>
              <w:t>30.04.2026</w:t>
            </w:r>
          </w:p>
        </w:tc>
      </w:tr>
      <w:tr>
        <w:trPr/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цоколя здания управления Сенгилеевской группы ГЭС (РЗ 254797)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с </w:t>
            </w:r>
            <w:r>
              <w:rPr>
                <w:sz w:val="24"/>
                <w:szCs w:val="24"/>
              </w:rPr>
              <w:t>даты подписания договора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Не позднее </w:t>
            </w:r>
            <w:r>
              <w:rPr>
                <w:sz w:val="24"/>
              </w:rPr>
              <w:t>15</w:t>
            </w:r>
            <w:r>
              <w:rPr>
                <w:sz w:val="24"/>
                <w:szCs w:val="24"/>
                <w:lang w:val="en-US"/>
              </w:rPr>
              <w:t>.0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  <w:lang w:val="en-US"/>
              </w:rPr>
              <w:t>.2026</w:t>
            </w:r>
          </w:p>
        </w:tc>
      </w:tr>
      <w:tr>
        <w:trPr/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бетонной площадки на пристанционной территории Новотроицкой ГЭС (РЗ 258385)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с </w:t>
            </w:r>
            <w:r>
              <w:rPr>
                <w:sz w:val="24"/>
                <w:szCs w:val="24"/>
              </w:rPr>
              <w:t>даты подписания договора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Не позднее </w:t>
            </w:r>
            <w:r>
              <w:rPr>
                <w:sz w:val="24"/>
                <w:lang w:val="en-US"/>
              </w:rPr>
              <w:t>30.06.2026</w:t>
            </w:r>
          </w:p>
        </w:tc>
      </w:tr>
      <w:tr>
        <w:trPr/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металлической кровли (покраска) Здание ГЭС-1 (РЗ 258921)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с </w:t>
            </w:r>
            <w:r>
              <w:rPr>
                <w:sz w:val="24"/>
                <w:szCs w:val="24"/>
              </w:rPr>
              <w:t>даты подписания договора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Не позднее </w:t>
            </w:r>
            <w:r>
              <w:rPr>
                <w:sz w:val="24"/>
                <w:lang w:val="en-US"/>
              </w:rPr>
              <w:t>25.05.2026</w:t>
            </w:r>
          </w:p>
        </w:tc>
      </w:tr>
      <w:tr>
        <w:trPr/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водоотводного лотка по левой стороне напорных трубопроводов ГЭС-1 (РЗ 258926)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с </w:t>
            </w:r>
            <w:r>
              <w:rPr>
                <w:sz w:val="24"/>
                <w:szCs w:val="24"/>
              </w:rPr>
              <w:t>даты подписания договора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Не позднее </w:t>
            </w:r>
            <w:r>
              <w:rPr>
                <w:sz w:val="24"/>
              </w:rPr>
              <w:t>30</w:t>
            </w:r>
            <w:r>
              <w:rPr>
                <w:sz w:val="24"/>
                <w:lang w:val="en-US"/>
              </w:rPr>
              <w:t>.0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>.2026</w:t>
            </w:r>
          </w:p>
        </w:tc>
      </w:tr>
      <w:tr>
        <w:trPr/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плит крепления откоса на северной дамбе БСР ГЭС-4 (РЗ 259199)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с </w:t>
            </w:r>
            <w:r>
              <w:rPr>
                <w:sz w:val="24"/>
                <w:szCs w:val="24"/>
              </w:rPr>
              <w:t>даты подписания договора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Не позднее </w:t>
            </w:r>
            <w:r>
              <w:rPr>
                <w:sz w:val="24"/>
                <w:lang w:val="en-US"/>
              </w:rPr>
              <w:t>30.09.2026</w:t>
            </w:r>
          </w:p>
        </w:tc>
      </w:tr>
      <w:tr>
        <w:trPr/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контейнера водолазного комплекса Инв номер 12101040000024580000 (РЗ 243589)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с </w:t>
            </w:r>
            <w:r>
              <w:rPr>
                <w:sz w:val="24"/>
                <w:szCs w:val="24"/>
              </w:rPr>
              <w:t>даты подписания договора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Не позднее </w:t>
            </w:r>
            <w:r>
              <w:rPr>
                <w:sz w:val="24"/>
                <w:lang w:val="en-US"/>
              </w:rPr>
              <w:t>20.09.2026</w:t>
            </w:r>
          </w:p>
        </w:tc>
      </w:tr>
      <w:tr>
        <w:trPr/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фундамента под контейнерный водолазный комплекс (РЗ 246245 )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с </w:t>
            </w:r>
            <w:r>
              <w:rPr>
                <w:sz w:val="24"/>
                <w:szCs w:val="24"/>
              </w:rPr>
              <w:t>даты подписания договора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Не позднее </w:t>
            </w:r>
            <w:r>
              <w:rPr>
                <w:sz w:val="24"/>
                <w:lang w:val="en-US"/>
              </w:rPr>
              <w:t>15.10.2026</w:t>
            </w:r>
          </w:p>
        </w:tc>
      </w:tr>
      <w:tr>
        <w:trPr/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кабинета №1 на 3 этаже (РЗ 255903)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с </w:t>
            </w:r>
            <w:r>
              <w:rPr>
                <w:sz w:val="24"/>
                <w:szCs w:val="24"/>
              </w:rPr>
              <w:t>даты подписания договора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>Не позднее 24.11.2026</w:t>
            </w:r>
          </w:p>
        </w:tc>
      </w:tr>
      <w:tr>
        <w:trPr/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паркетных полов Здания управления Куршавской группы ГЭС КК0000013 (РЗ 241420)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 xml:space="preserve">с </w:t>
            </w:r>
            <w:r>
              <w:rPr>
                <w:sz w:val="24"/>
                <w:szCs w:val="24"/>
              </w:rPr>
              <w:t>даты подписания договора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>Не позднее 15.12.2026</w:t>
            </w:r>
          </w:p>
        </w:tc>
      </w:tr>
      <w:tr>
        <w:trPr/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3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полов здания управления Сенгилеевской ГЭС (РЗ 254783)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>с даты подписания договора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</w:rPr>
              <w:t>Не позднее 15.12.2026</w:t>
            </w:r>
          </w:p>
        </w:tc>
      </w:tr>
      <w:tr>
        <w:trPr/>
        <w:tc>
          <w:tcPr>
            <w:tcW w:w="9775" w:type="dxa"/>
            <w:gridSpan w:val="4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 согласно календарного графика по договору № 1210-343-2023 от 03.11.2023 «Капитальный и текущий ремонт оборудования, зданий и сооружений ККГЭС» ПАО «РусГидро» - «Каскад Кубанских ГЭС.</w:t>
            </w:r>
          </w:p>
        </w:tc>
      </w:tr>
    </w:tbl>
    <w:p>
      <w:pPr>
        <w:sectPr>
          <w:headerReference w:type="default" r:id="rId2"/>
          <w:footerReference w:type="default" r:id="rId3"/>
          <w:type w:val="nextPage"/>
          <w:pgSz w:w="11906" w:h="16838"/>
          <w:pgMar w:left="1230" w:right="851" w:gutter="0" w:header="0" w:top="567" w:footer="0" w:bottom="567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39" w:name="__RefHeading___Toc2091_1456059687"/>
      <w:bookmarkStart w:id="40" w:name="_Toc51339698"/>
      <w:bookmarkStart w:id="41" w:name="_Toc124516422"/>
      <w:bookmarkEnd w:id="39"/>
      <w:r>
        <w:rPr/>
        <w:t xml:space="preserve">Требования к </w:t>
      </w:r>
      <w:r>
        <w:rPr>
          <w:lang w:val="ru-RU"/>
        </w:rPr>
        <w:t>качеству работ</w:t>
      </w:r>
      <w:bookmarkEnd w:id="41"/>
    </w:p>
    <w:p>
      <w:pPr>
        <w:pStyle w:val="Normal"/>
        <w:rPr/>
      </w:pPr>
      <w:r>
        <w:rPr/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</w:rPr>
      </w:pPr>
      <w:bookmarkStart w:id="42" w:name="__RefHeading___Toc2093_1456059687"/>
      <w:bookmarkStart w:id="43" w:name="_Toc124516423"/>
      <w:bookmarkEnd w:id="42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40"/>
      <w:r>
        <w:rPr>
          <w:sz w:val="24"/>
          <w:szCs w:val="24"/>
          <w:lang w:val="ru-RU"/>
        </w:rPr>
        <w:t>качеству работ</w:t>
      </w:r>
      <w:bookmarkEnd w:id="43"/>
      <w:r>
        <w:rPr>
          <w:sz w:val="24"/>
          <w:szCs w:val="24"/>
        </w:rPr>
        <w:t xml:space="preserve"> </w:t>
      </w:r>
    </w:p>
    <w:p>
      <w:pPr>
        <w:pStyle w:val="Normal"/>
        <w:rPr/>
      </w:pPr>
      <w:r>
        <w:rPr>
          <w:bCs/>
          <w:sz w:val="24"/>
          <w:szCs w:val="24"/>
        </w:rPr>
        <w:t>Наименование работ/этапа работ: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  <w:lang w:eastAsia="x-none"/>
        </w:rPr>
        <w:t>Позиция № 1-12 Таблицы 2. Перечень и объем выполняемых работ</w:t>
      </w:r>
    </w:p>
    <w:tbl>
      <w:tblPr>
        <w:tblW w:w="15422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20"/>
        <w:gridCol w:w="1954"/>
        <w:gridCol w:w="7970"/>
        <w:gridCol w:w="2409"/>
        <w:gridCol w:w="2269"/>
      </w:tblGrid>
      <w:tr>
        <w:trPr>
          <w:trHeight w:val="276" w:hRule="atLeast"/>
        </w:trPr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7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76" w:hRule="atLeast"/>
        </w:trPr>
        <w:tc>
          <w:tcPr>
            <w:tcW w:w="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9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9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указание характеристик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-120" w:leader="none"/>
                <w:tab w:val="left" w:pos="165" w:leader="none"/>
              </w:tabs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bCs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-//-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340" w:hanging="34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Соблюдение норм и правил нормативно-технических документов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020" w:leader="none"/>
              </w:tabs>
              <w:ind w:left="0" w:hanging="0"/>
              <w:jc w:val="both"/>
              <w:rPr>
                <w:u w:val="single"/>
              </w:rPr>
            </w:pPr>
            <w:r>
              <w:rPr>
                <w:u w:val="single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left="113" w:hanging="0"/>
              <w:jc w:val="both"/>
              <w:rPr/>
            </w:pPr>
            <w:r>
              <w:rPr/>
              <w:t>Работы должны проводиться в строгом соответствии с Таблица 3.     Требования по срокам выполнения работ к техническим требованиям;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/>
            </w:pPr>
            <w:r>
              <w:rPr/>
              <w:t>Приложение 2 к Регламенту Допуск персонала подрядных организаций  Методика допуска персонала подрядных организаций к выполнению работ на объектах Общества (утв. приказом ОАО «РусГидро» №300 от 28.04.2023 г). (Приложение № 2 к ТТ);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СТО РусГидро 02.01.62 – 2021 «Электрические станции и сети. Ремонт и техническое обслуживание оборудования, зданий и сооружений» (раздел 5, Приложение № 7 к ТТ);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ГОСТ 10180-2012</w:t>
            </w:r>
            <w:r>
              <w:rPr>
                <w:color w:val="2A6099"/>
              </w:rPr>
              <w:t xml:space="preserve"> </w:t>
            </w:r>
            <w:r>
              <w:rPr>
                <w:color w:val="000000"/>
              </w:rPr>
              <w:t>«Бетоны. Методы определения прочности по контрольным образцам»</w:t>
            </w:r>
            <w:r>
              <w:rPr/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Правил по охране труда при погрузочно-разгрузочных работах и размещении грузов»,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Соблюдать режим использования водоохранных зон, в соответствии с Водным кодексом РФ от 03.06.2006 г. № 74-ФЗ.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Иметь квалификацию и опыт, соответствующие выполняемым работам. Инструктаж, обучение и проверка знаний по охране труда рабочих и инженерно - технических работников должны быть</w:t>
            </w:r>
            <w:r>
              <w:rPr>
                <w:i/>
                <w:iCs/>
              </w:rPr>
              <w:t xml:space="preserve"> </w:t>
            </w:r>
            <w:r>
              <w:rPr/>
              <w:t>организованы в соответствии - Постановлением Правительства РФ от 24.12.2021 N 2464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При работе на ГТС должен руководствоваться - СТО РусГидро 05.02.126-2020 Правила организации безопасного обслуживания, гидротехнических сооружений, гидросилового и гидромеханического оборудования гидроэлектростанций (раздел 5, Приложение № 6 к ТТ)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СП 48.13330.2019. Свод правил. Организация строительства. СНиП 12-01-2004" (утв. и введён в действие Приказом Минстроя России от 24.12.2019 N 861/пр);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Проводимые работы по подъему и транспортировке людей с применением ПС должны в полной мере соответствовать требованиям пунктов 115, 137, 235-247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 (утверждены приказом Ростехнадзора №461 от 26.11.2020 г.).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740" w:leader="none"/>
              </w:tabs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Организационно-технические мероприятия по допуску персонала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>
                <w:u w:val="single"/>
              </w:rPr>
              <w:t>Допуск персонала Субподрядчика для выполнения работ должен осуществляться в соответствии с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/>
            </w:pPr>
            <w:r>
              <w:rPr/>
              <w:t>Приложение 2 к Регламенту Допуск персонала подрядных организаций  Методика допуска персонала подрядных организаций к выполнению работ на объектах Общества (утв. приказом ОАО «РусГидро» №300 от 28.04.2023 г). (Приложение № 2 к ТТ);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570" w:leader="none"/>
              </w:tabs>
              <w:ind w:left="170" w:hanging="0"/>
              <w:jc w:val="both"/>
              <w:rPr/>
            </w:pPr>
            <w:r>
              <w:rPr/>
              <w:t>При проведении работ исполнитель работ должен иметь право работы по нарядам-допускам и быть ответственным за организацию безопасного проведения работ (выдающий наряд, руководитель работ, производитель работ, член бригады).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740" w:leader="none"/>
              </w:tabs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разработке ППР</w:t>
            </w:r>
          </w:p>
        </w:tc>
        <w:tc>
          <w:tcPr>
            <w:tcW w:w="7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>Перед началом работ Субподрядчик разрабатывает и согласовывает с Генеральным подрядчиком и Заказчиком ППР включающий в себя: ведомость планируемых работ, график проведения ремонта, сведения о ремонтируемых сооружениях, условия работ на объекте, график поступления строительных изделий, материалов и оборудования на объект, перечень механизмов, инструмента, приспособлений, необходимых для проведения работ.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7"/>
              </w:numPr>
              <w:ind w:left="360" w:hanging="36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Требования к используемым материалам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  <w:shd w:fill="FFFF00" w:val="clear"/>
              </w:rPr>
            </w:pPr>
            <w:r>
              <w:rPr>
                <w:b/>
                <w:sz w:val="24"/>
                <w:szCs w:val="24"/>
                <w:shd w:fill="FFFF00" w:val="clear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/>
            </w:pPr>
            <w:r>
              <w:rPr/>
              <w:t>Материалы, необходимые для выполнения работ по ремонту, приобретаются Субподрядчиком самостоятельно согласно Ведомостям объемов работ № 1-12 к настоящим Техническим требованиям (Приложения № 3).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/>
            </w:pPr>
            <w:r>
              <w:rPr/>
              <w:t>В случае если в настоящих ТТ и/или приложениях к ним указаны конкретные производители, торговые марки, фирменные наименования, модели или источник происхождения материалов и продукции, Субподрядчик, определенный в соответствии с результатами закупочной процедуры, на этапе исполнения договора может предложить эквивалентные материалы. Эквивалентные материалы – это материалы, которые по техническим и функциональным характеристикам не уступают характеристикам, заявленным в документации о закупке, в том числе, по гарантийным срокам и срокам эксплуатации. При этом, Субподрядчик должен предоставить Генеральному подрядчику исчерпывающую информацию об эквивалентных материалах, а предлагаемые замены не должны оказывать влияние на безопасность объекта и обеспечивать выполнение требований проектной и рабочей документации и/или ведомости объемов работ. В случае, если применение Субподрядчиком эквивалентных материалов будет согласовано Генеральным подрядчиком и потребует внесения изменений в проектную/рабочую документацию, такие изменения также производятся за счет Субподрядчика. При закупке материалов для выполнения работ по Договору Субподрядчику необходимо руководствоваться положениями Постановления Правительства Российской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/>
            </w:pPr>
            <w:r>
              <w:rPr/>
              <w:t>Все поставляемые и применяемые запасные части и материалы должны быть новыми и не использованными ранее.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22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Материалы перед их применением должны пройти входной контроль представителя эксплуатирующей организации.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34" w:leader="none"/>
              </w:tabs>
              <w:ind w:left="113" w:hanging="0"/>
              <w:jc w:val="both"/>
              <w:rPr/>
            </w:pPr>
            <w:r>
              <w:rPr/>
              <w:t>На используемые материалы должны быть представлены сертификаты или паспорта качества (соответствия).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8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Контроль качества используемых материалов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u w:val="single"/>
              </w:rPr>
              <w:t>Субподрядчик должен обеспечить входной контроль поступающих материалов, включающий в себя проверку: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285" w:leader="none"/>
              </w:tabs>
              <w:spacing w:before="0" w:after="0"/>
              <w:ind w:left="113" w:hanging="0"/>
              <w:contextualSpacing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наличия соответствующих сертификатов в соответствии с требованиями постановления Правительства Российской Федерации от 23.12.2021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Федерации»;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2" w:leader="none"/>
              </w:tabs>
              <w:spacing w:before="0" w:after="0"/>
              <w:ind w:left="113" w:hanging="0"/>
              <w:contextualSpacing w:val="false"/>
              <w:jc w:val="both"/>
              <w:rPr/>
            </w:pPr>
            <w:r>
              <w:rPr>
                <w:rFonts w:eastAsia="Times New Roman"/>
              </w:rPr>
              <w:t>наличия и надлежащего заполнения документа о качестве и соответствии приведённых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2" w:leader="none"/>
              </w:tabs>
              <w:spacing w:before="0" w:after="0"/>
              <w:ind w:left="113" w:hanging="0"/>
              <w:contextualSpacing w:val="false"/>
              <w:jc w:val="both"/>
              <w:rPr/>
            </w:pPr>
            <w:r>
              <w:rPr>
                <w:rFonts w:eastAsia="Times New Roman"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left="113" w:hanging="0"/>
              <w:jc w:val="both"/>
              <w:rPr/>
            </w:pPr>
            <w:r>
              <w:rPr/>
              <w:t>комплектности поставляемых материалов.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субподрядчика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Требования к персоналу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  <w:u w:val="single"/>
              </w:rPr>
              <w:t>К выполнению работ должны быть привлечены</w:t>
            </w:r>
            <w:r>
              <w:rPr>
                <w:sz w:val="24"/>
                <w:szCs w:val="24"/>
              </w:rPr>
              <w:t>: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26" w:leader="none"/>
              </w:tabs>
              <w:ind w:left="57" w:hanging="0"/>
              <w:rPr/>
            </w:pPr>
            <w:r>
              <w:rPr/>
              <w:t>квалифицированный рабочий персонал с группами по электробезопасности (не ниже 2 группы)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57" w:leader="none"/>
              </w:tabs>
              <w:ind w:left="57" w:hanging="0"/>
              <w:rPr/>
            </w:pPr>
            <w:r>
              <w:rPr>
                <w:rFonts w:eastAsia="Times New Roman"/>
              </w:rPr>
              <w:t>административно-технический персонал с указанием групп по электробезопасности (не ниже 3 группы)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3165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Документальное подтверждение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/>
            </w:pPr>
            <w:r>
              <w:rPr>
                <w:sz w:val="24"/>
                <w:szCs w:val="24"/>
                <w:u w:val="single"/>
              </w:rPr>
              <w:t>Для подтверждения принадлежности данных лиц к Субподрядчику должны быть предоставлены: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копии трудового договора или копии трудовых книжек или копии приказов о приёме на работу;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/>
            </w:pPr>
            <w:r>
              <w:rPr>
                <w:rFonts w:eastAsia="Times New Roman"/>
              </w:rPr>
              <w:t>копию страниц паспорта;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справку об отсутствии судимости;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заполненную анкету (форма Приложение № 4 к настоящим техническим требованиям);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согласие на обработку персональных и иных охраняемых законном данных (форма Приложение № 5 к настоящим техническим требованиям);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копии удостоверений по ЭБ;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копии протоколов по ЭБ;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документы о прохождении медосмотра и психиатрического освидетельствования, заверенными руководителем организации или уполномоченным лицом.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/>
            </w:pPr>
            <w:r>
              <w:rPr>
                <w:rFonts w:eastAsia="Times New Roman"/>
              </w:rPr>
              <w:t>До начала проведения работ в рамках исполнения договора после его заключения Субподрядчик должен предоставить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0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u w:val="single"/>
              </w:rPr>
              <w:t>Субподрядчик при производстве работ должен соблюдать: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84" w:leader="none"/>
              </w:tabs>
              <w:ind w:left="113" w:hanging="0"/>
              <w:jc w:val="both"/>
              <w:rPr/>
            </w:pPr>
            <w:r>
              <w:rPr/>
              <w:t>Постановление Правительства РФ от 24.12.2021 N 2464 "О порядке обучения по охране труда и проверки знания требований охраны труда"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84" w:leader="none"/>
              </w:tabs>
              <w:ind w:left="113" w:hanging="0"/>
              <w:jc w:val="both"/>
              <w:rPr/>
            </w:pPr>
            <w:r>
              <w:rPr/>
              <w:t>Правил    по    охране    труда     при эксплуатации электроустановок, утверждённых приказом Министерство труда и социальной защиты РФ от 15.12.2020г. № 903н, зарегистрированных в Минюсте России 30.12.2020 N 61957;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434" w:leader="none"/>
              </w:tabs>
              <w:ind w:left="113" w:hanging="0"/>
              <w:jc w:val="both"/>
              <w:rPr/>
            </w:pPr>
            <w:r>
              <w:rPr/>
              <w:t>Правил по охране труда при строительстве, реконструкции и ремонте, утверждённых приказом Минтруда России от 11.12.2020 N 883н, зарегистрированных в Минюсте России 24.12.2020 N 61787;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9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СНиП 12-03-2001«Безопасность труда в строительстве» Часть 1. Общие требования, утвержденных Постановлением Госстроя РФ от 23.07.2001 N 80, зарегистрированных в Минюсте РФ 09.08.2001 N 2862;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34" w:leader="none"/>
                <w:tab w:val="left" w:pos="525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СНиП 12-04-2002 «Безопасность  труда  в  строительстве» Часть 2.  Строительное Производство, утвержденных Постановлением Госстроя России от 17.09.2002 N 123, зарегистрированных в Минюсте России 18.10.2002 N 3880;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СП 12-136-2002 «Решения по охране труда и промышленной    безопасности в ПНР и ПОС», утвержденных  Постановлением Госстроя РФ от 17.09.2002 N 122;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22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погрузочно-разгрузочных работах и размещении грузов»,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09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ГОСТ 12.3.009-76 «ССБТ. Работы погрузочно-разгрузочные. Общие требования       безопасности», утвержден Постановлением Госстандарта СССР от 23.03.1976 N 670;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90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Постановление Правительства РФ от 10.09.2020 N 1391 "Об утверждении Правил охраны поверхностных водных объектов";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ФЗ № 7 от 10.01.2002 г «Об охране окружающей среды»;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противопожарного режима в Российской Федерации, утверждённых постановлением Правительства РФ от 16.09.2020 N 1479;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45.13330.2017. Свод правил. Земляные сооружения, основания и фундаменты. Актуализированная редакция СНиП 3.02.01-87" (утв. и введен в действие Приказом Минстроя России от 27.02.2017 N 125/пр) (ред. От 20.11.2019);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72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работе с инструментом и приспособлениями, утверждённых Приказом Минтруда России от 27.11.2020 г. № 835н, зарегистрированных в Минюсте России 11.12.2020 N 61411;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45" w:leader="none"/>
                <w:tab w:val="left" w:pos="660" w:leader="none"/>
              </w:tabs>
              <w:ind w:left="113" w:hanging="0"/>
              <w:jc w:val="both"/>
              <w:rPr/>
            </w:pPr>
            <w:r>
              <w:rPr/>
              <w:t>Заводскими инструкциями.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1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Результатом выполнения работ должно быть работоспособное техническое состояние объекта в соответствии с пожарными, инженерными, санитарно-гигиеническими и строительными нормативами. Объем выполняемых работ должен соответствовать Приложению № 3 настоящих ТТ.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2"/>
              </w:numPr>
              <w:tabs>
                <w:tab w:val="clear" w:pos="708"/>
                <w:tab w:val="left" w:pos="1032" w:leader="none"/>
              </w:tabs>
              <w:ind w:left="360" w:hanging="360"/>
              <w:jc w:val="both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По результатам выполнения работ должен быть достигнут ввод объекта из ремонта в эксплуатацию.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1007" w:leader="none"/>
              </w:tabs>
              <w:ind w:left="360" w:hanging="360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Перед передачей результатов работ Субподрядчик обязан передать Генеральному подрядчику «Отчёт о выполненных работах»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447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4"/>
              </w:numPr>
              <w:tabs>
                <w:tab w:val="clear" w:pos="708"/>
                <w:tab w:val="left" w:pos="1032" w:leader="none"/>
              </w:tabs>
              <w:ind w:left="360" w:hanging="36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Документы, передаваемые Генеральному подрядчику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u w:val="single"/>
              </w:rPr>
              <w:t>Субподрядчик по результатам выполненных работ обязан</w:t>
            </w:r>
            <w:r>
              <w:rPr>
                <w:sz w:val="24"/>
                <w:szCs w:val="24"/>
              </w:rPr>
              <w:t xml:space="preserve"> одновременно с передачей актов приёмки выполненных работ по форме КС-2 передать Генеральному подрядчику «Отчёт о выполненных работах», включая: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комиссионные акты входного контроля закупаемых Субподрядчиком материалов на соответствие продукции требованиям технической документации;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сертификаты, паспорта, подтверждающие качество и соответствие требованиям нормативно-технической документации материалов (форма завода-изготовителя);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протоколы испытаний;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акты приёмки скрытых работ;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исполнительные схемы на земляные и берегоукрепительные работы;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rPr>
                <w:rFonts w:eastAsia="Times New Roman"/>
              </w:rPr>
            </w:pPr>
            <w:r>
              <w:rPr>
                <w:rFonts w:eastAsia="Times New Roman"/>
              </w:rPr>
              <w:t>справку о фактических трудозатратах при выполнении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443" w:leader="none"/>
              </w:tabs>
              <w:ind w:left="0" w:hanging="0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443" w:leader="none"/>
              </w:tabs>
              <w:ind w:left="0" w:hanging="0"/>
              <w:rPr/>
            </w:pPr>
            <w:r>
              <w:rPr/>
              <w:t>3.1</w:t>
            </w:r>
          </w:p>
        </w:tc>
        <w:tc>
          <w:tcPr>
            <w:tcW w:w="99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285" w:leader="none"/>
              </w:tabs>
              <w:ind w:left="113" w:hanging="0"/>
              <w:rPr/>
            </w:pPr>
            <w:r>
              <w:rPr>
                <w:sz w:val="24"/>
                <w:szCs w:val="24"/>
              </w:rPr>
              <w:t>Свод правил СП 71.13330.2017 "Изоляционные и отделочные покрытия" Актуализированная редакция СНиП 3.04.01-87 (утв. приказом Министерства строительства и жилищно-коммунального хозяйства РФ от 27 февраля 2017 г. N 128/пр);</w:t>
            </w:r>
          </w:p>
          <w:p>
            <w:pPr>
              <w:pStyle w:val="Normal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285" w:leader="none"/>
              </w:tabs>
              <w:ind w:left="113" w:hanging="0"/>
              <w:rPr/>
            </w:pPr>
            <w:r>
              <w:rPr>
                <w:sz w:val="24"/>
                <w:szCs w:val="24"/>
              </w:rPr>
              <w:t>Свод правил СП 17.13330.2017 СНиП II-26-76 Кровли;</w:t>
            </w:r>
          </w:p>
          <w:p>
            <w:pPr>
              <w:pStyle w:val="Normal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285" w:leader="none"/>
              </w:tabs>
              <w:ind w:left="113" w:hanging="0"/>
              <w:rPr/>
            </w:pPr>
            <w:r>
              <w:rPr>
                <w:sz w:val="24"/>
                <w:szCs w:val="24"/>
              </w:rPr>
              <w:t>Свод правил  СП 30.13330.2020 Внутренний водопровод и канализация зданий.</w:t>
            </w:r>
          </w:p>
          <w:p>
            <w:pPr>
              <w:pStyle w:val="Normal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Минстроя России от 27.07.2017 N 1033/пр "Об утверждении СП 68.13330.2017 "СНиП 3.01.04-87 Приемка в эксплуатацию законченных строительством объектов. Основные положения";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/>
            </w:pPr>
            <w:r>
              <w:rPr/>
              <w:t>Приказ Минстроя Российской Федерации от 02.12.2022 № 1026/пр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строительства;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/>
            </w:pPr>
            <w:r>
              <w:rPr/>
              <w:t>Приказ Минстроя России от 16.05.2023 № 344/пр, которым утверждены состав и порядок ведения исполнительной документации при строительстве, реконструкции, капитальном ремонте объектов капитального строительства.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/>
                <w:sz w:val="24"/>
                <w:szCs w:val="24"/>
              </w:rPr>
              <w:t>Требования к ответственности и гарантиям субподрядчика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ind w:left="720" w:hanging="72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Гарантийный срок по результатам выполненных работ должен составлять не менее 36 месяцев с момента подписания Акта о приёмке выполненных работ КС-2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субподрядчику (и субсубподрядчикам) и его обязательствам, влияющим на исполнение договора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5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Требования к Субсубподрядным организациям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В случае привлечения к выполнению работ Субсубподрядных организаций Субподрядчик обязан представить генеральному подрядчику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-340" w:hang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99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Прочие требования к выполняемым работам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-227" w:hanging="0"/>
              <w:jc w:val="center"/>
              <w:rPr/>
            </w:pPr>
            <w:r>
              <w:rPr/>
              <w:t>6.1</w:t>
            </w:r>
          </w:p>
        </w:tc>
        <w:tc>
          <w:tcPr>
            <w:tcW w:w="99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сводном сметном расчете предусмотреть включение затрат на непредвиденные расходы в размере 3%. Непредвиденные работы и затраты оплачиваются за фактически выполненные работы. Объем работ, выполняемый Субподрядчиком, должен быть предварительно согласован с Заказчиком и выполняться на основании утвержденных Заказчиком локальных сметных расчетов, в рамках лимита на непредвиденные работы и затраты, предусмотренного утвержденным Сводным сметным расчетом.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sectPr>
          <w:headerReference w:type="default" r:id="rId4"/>
          <w:headerReference w:type="first" r:id="rId5"/>
          <w:footerReference w:type="default" r:id="rId6"/>
          <w:footerReference w:type="first" r:id="rId7"/>
          <w:type w:val="nextPage"/>
          <w:pgSz w:orient="landscape" w:w="16838" w:h="11906"/>
          <w:pgMar w:left="1134" w:right="851" w:gutter="0" w:header="680" w:top="851" w:footer="737" w:bottom="851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Normal"/>
        <w:keepNext w:val="true"/>
        <w:numPr>
          <w:ilvl w:val="0"/>
          <w:numId w:val="3"/>
        </w:numPr>
        <w:tabs>
          <w:tab w:val="clear" w:pos="708"/>
          <w:tab w:val="left" w:pos="567" w:leader="none"/>
        </w:tabs>
        <w:ind w:left="1560" w:hanging="1560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44" w:name="__RefHeading___Toc2095_1456059687"/>
      <w:bookmarkStart w:id="45" w:name="_Ref40301253"/>
      <w:bookmarkStart w:id="46" w:name="_Toc124516424"/>
      <w:bookmarkStart w:id="47" w:name="_Toc53393312"/>
      <w:bookmarkEnd w:id="44"/>
      <w:r>
        <w:rPr>
          <w:rFonts w:eastAsia="Calibri"/>
          <w:b/>
          <w:sz w:val="24"/>
          <w:szCs w:val="24"/>
          <w:lang w:val="x-none" w:eastAsia="x-none"/>
        </w:rPr>
        <w:t>Требования к документации по ценообразованию</w:t>
      </w:r>
      <w:bookmarkEnd w:id="47"/>
      <w:r>
        <w:rPr>
          <w:rFonts w:eastAsia="Calibri"/>
          <w:b/>
          <w:sz w:val="24"/>
          <w:szCs w:val="24"/>
          <w:lang w:val="x-none" w:eastAsia="x-none"/>
        </w:rPr>
        <w:t xml:space="preserve"> на этапе закупки</w:t>
      </w:r>
      <w:bookmarkEnd w:id="46"/>
    </w:p>
    <w:p>
      <w:pPr>
        <w:pStyle w:val="Normal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3.1. 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 (с указанием конкурсного коэффициента).</w:t>
      </w:r>
    </w:p>
    <w:p>
      <w:pPr>
        <w:pStyle w:val="Normal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3.2. 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rPr>
          <w:rFonts w:eastAsia="Calibri"/>
          <w:b/>
          <w:iCs/>
          <w:sz w:val="24"/>
          <w:szCs w:val="24"/>
          <w:lang w:eastAsia="x-none"/>
        </w:rPr>
      </w:pPr>
      <w:r>
        <w:rPr>
          <w:rFonts w:eastAsia="Calibri"/>
          <w:b/>
          <w:iCs/>
          <w:sz w:val="24"/>
          <w:szCs w:val="24"/>
          <w:lang w:eastAsia="x-none"/>
        </w:rPr>
      </w:r>
    </w:p>
    <w:p>
      <w:pPr>
        <w:pStyle w:val="Normal"/>
        <w:rPr>
          <w:rFonts w:eastAsia="Calibri"/>
          <w:b/>
          <w:iCs/>
          <w:sz w:val="24"/>
          <w:szCs w:val="24"/>
          <w:lang w:eastAsia="x-none"/>
        </w:rPr>
      </w:pPr>
      <w:r>
        <w:rPr>
          <w:rFonts w:eastAsia="Calibri"/>
          <w:b/>
          <w:iCs/>
          <w:sz w:val="24"/>
          <w:szCs w:val="24"/>
          <w:lang w:eastAsia="x-none"/>
        </w:rPr>
      </w:r>
    </w:p>
    <w:p>
      <w:pPr>
        <w:pStyle w:val="Heading1"/>
        <w:numPr>
          <w:ilvl w:val="0"/>
          <w:numId w:val="3"/>
        </w:numPr>
        <w:ind w:left="567" w:hanging="567"/>
        <w:rPr>
          <w:sz w:val="24"/>
          <w:szCs w:val="24"/>
        </w:rPr>
      </w:pPr>
      <w:bookmarkStart w:id="48" w:name="__RefHeading___Toc2097_1456059687"/>
      <w:bookmarkStart w:id="49" w:name="_Toc124516427"/>
      <w:bookmarkEnd w:id="48"/>
      <w:r>
        <w:rPr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49"/>
    </w:p>
    <w:p>
      <w:pPr>
        <w:pStyle w:val="ListParagraph"/>
        <w:numPr>
          <w:ilvl w:val="0"/>
          <w:numId w:val="31"/>
        </w:numPr>
        <w:tabs>
          <w:tab w:val="clear" w:pos="708"/>
          <w:tab w:val="left" w:pos="567" w:leader="none"/>
        </w:tabs>
        <w:ind w:left="0" w:hanging="0"/>
        <w:jc w:val="both"/>
        <w:rPr/>
      </w:pPr>
      <w:bookmarkStart w:id="50" w:name="_Toc124516429"/>
      <w:r>
        <w:rPr/>
        <w:t xml:space="preserve">Сметную документацию составлять и оформлять в соответствии с требованиями к документации по ценообразованию (Приложение №1 к настоящим техническим требованиям) с применением конкурсного коэффициента, указанного в заявке Участника, с которым принято решение заключить договор, коэффициент начисляется в каждой локальной смете к итогу. </w:t>
      </w:r>
      <w:bookmarkEnd w:id="50"/>
    </w:p>
    <w:p>
      <w:pPr>
        <w:pStyle w:val="Normal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3"/>
        </w:numPr>
        <w:ind w:left="567" w:hanging="567"/>
        <w:rPr>
          <w:sz w:val="24"/>
          <w:szCs w:val="24"/>
        </w:rPr>
      </w:pPr>
      <w:bookmarkStart w:id="51" w:name="__RefHeading___Toc2099_1456059687"/>
      <w:bookmarkEnd w:id="51"/>
      <w:r>
        <w:rPr>
          <w:sz w:val="24"/>
          <w:szCs w:val="24"/>
        </w:rPr>
        <w:t>Приложения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1:</w:t>
      </w:r>
      <w:r>
        <w:rPr>
          <w:bCs/>
          <w:iCs/>
          <w:sz w:val="24"/>
          <w:szCs w:val="24"/>
        </w:rPr>
        <w:t xml:space="preserve"> </w:t>
      </w:r>
      <w:bookmarkStart w:id="52" w:name="_Hlk87545766"/>
      <w:r>
        <w:rPr>
          <w:bCs/>
          <w:iCs/>
          <w:sz w:val="24"/>
          <w:szCs w:val="24"/>
        </w:rPr>
        <w:t>Требования к оформлению и составлению документации по ценообразованию</w:t>
      </w:r>
      <w:bookmarkEnd w:id="52"/>
      <w:r>
        <w:rPr>
          <w:bCs/>
          <w:iCs/>
          <w:sz w:val="24"/>
          <w:szCs w:val="24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2:</w:t>
      </w:r>
      <w:r>
        <w:rPr>
          <w:bCs/>
          <w:iCs/>
          <w:sz w:val="24"/>
          <w:szCs w:val="24"/>
        </w:rPr>
        <w:t xml:space="preserve"> Временное положение о допуске персонала строительно-монтажных организаций и командированного персонала к выполнению работ на объектах ПАО «РусГидро» (утв. приказом ОАО «РусГидро» №736 от 13.11.2008г.);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rFonts w:eastAsia="Calibri"/>
          <w:i/>
          <w:i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3:</w:t>
      </w:r>
      <w:r>
        <w:rPr>
          <w:iCs/>
          <w:sz w:val="24"/>
          <w:szCs w:val="24"/>
        </w:rPr>
        <w:t xml:space="preserve"> Ведомости объемов работ № 1-12;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4</w:t>
      </w:r>
      <w:r>
        <w:rPr>
          <w:bCs/>
          <w:iCs/>
          <w:sz w:val="24"/>
          <w:szCs w:val="24"/>
        </w:rPr>
        <w:t>: Анкета;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5</w:t>
      </w:r>
      <w:r>
        <w:rPr>
          <w:bCs/>
          <w:iCs/>
          <w:sz w:val="24"/>
          <w:szCs w:val="24"/>
        </w:rPr>
        <w:t>: Согласие на обработку персональных и иных охраняемых законом данных;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6</w:t>
      </w:r>
      <w:r>
        <w:rPr>
          <w:bCs/>
          <w:iCs/>
          <w:sz w:val="24"/>
          <w:szCs w:val="24"/>
        </w:rPr>
        <w:t xml:space="preserve">: </w:t>
      </w:r>
      <w:r>
        <w:rPr>
          <w:sz w:val="24"/>
          <w:szCs w:val="24"/>
        </w:rPr>
        <w:t>СТО РусГидро 05.02.126-2020</w:t>
      </w:r>
      <w:r>
        <w:rPr>
          <w:iCs/>
          <w:sz w:val="24"/>
          <w:szCs w:val="24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7</w:t>
      </w:r>
      <w:r>
        <w:rPr>
          <w:bCs/>
          <w:iCs/>
          <w:sz w:val="24"/>
          <w:szCs w:val="24"/>
        </w:rPr>
        <w:t xml:space="preserve">: </w:t>
      </w:r>
      <w:r>
        <w:rPr>
          <w:iCs/>
          <w:sz w:val="24"/>
          <w:szCs w:val="24"/>
        </w:rPr>
        <w:t>СТО РусГидро 02.01.62 – 202</w:t>
      </w:r>
      <w:bookmarkEnd w:id="45"/>
      <w:r>
        <w:rPr>
          <w:iCs/>
          <w:sz w:val="24"/>
          <w:szCs w:val="24"/>
        </w:rPr>
        <w:t>1;</w:t>
      </w:r>
    </w:p>
    <w:p>
      <w:pPr>
        <w:pStyle w:val="Normal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Приложение № 8: </w:t>
      </w:r>
      <w:r>
        <w:rPr>
          <w:iCs/>
          <w:sz w:val="24"/>
          <w:szCs w:val="24"/>
        </w:rPr>
        <w:t>Методика допуска персонала подрядных организаций к выполнению работ на объектах Общества.</w:t>
      </w:r>
      <w:r>
        <w:rPr>
          <w:b/>
          <w:bCs/>
          <w:iCs/>
          <w:sz w:val="24"/>
          <w:szCs w:val="24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bCs/>
          <w:i/>
          <w:i/>
          <w:iCs/>
          <w:sz w:val="24"/>
          <w:szCs w:val="24"/>
          <w:shd w:fill="FFFF00" w:val="clear"/>
        </w:rPr>
      </w:pPr>
      <w:r>
        <w:rPr>
          <w:bCs/>
          <w:i/>
          <w:iCs/>
          <w:sz w:val="24"/>
          <w:szCs w:val="24"/>
          <w:shd w:fill="FFFF00" w:val="clear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915" w:leader="none"/>
        </w:tabs>
        <w:rPr>
          <w:sz w:val="24"/>
          <w:szCs w:val="24"/>
        </w:rPr>
      </w:pPr>
      <w:r>
        <w:rPr/>
      </w:r>
    </w:p>
    <w:sectPr>
      <w:headerReference w:type="default" r:id="rId8"/>
      <w:headerReference w:type="first" r:id="rId9"/>
      <w:footerReference w:type="default" r:id="rId10"/>
      <w:footerReference w:type="first" r:id="rId11"/>
      <w:type w:val="nextPage"/>
      <w:pgSz w:w="11906" w:h="16838"/>
      <w:pgMar w:left="1134" w:right="851" w:gutter="0" w:header="680" w:top="1134" w:footer="737" w:bottom="992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16</w:t>
    </w:r>
    <w:r>
      <w:rPr/>
      <w:fldChar w:fldCharType="end"/>
    </w:r>
  </w:p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022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1.2.%3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4460"/>
        </w:tabs>
        <w:ind w:left="51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4.%1"/>
      <w:lvlJc w:val="left"/>
      <w:pPr>
        <w:tabs>
          <w:tab w:val="num" w:pos="0"/>
        </w:tabs>
        <w:ind w:left="100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9" w:hanging="180"/>
      </w:pPr>
      <w:rPr/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decimal"/>
      <w:lvlText w:val="1.%1.1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decimal"/>
      <w:lvlText w:val="1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1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decimal"/>
      <w:lvlText w:val="1.4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decimal"/>
      <w:lvlText w:val="1.5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decimal"/>
      <w:lvlText w:val="1.6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1">
    <w:lvl w:ilvl="0">
      <w:start w:val="1"/>
      <w:numFmt w:val="decimal"/>
      <w:lvlText w:val="2.1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decimal"/>
      <w:lvlText w:val="2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3">
    <w:lvl w:ilvl="0">
      <w:start w:val="1"/>
      <w:numFmt w:val="decimal"/>
      <w:lvlText w:val="2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4">
    <w:lvl w:ilvl="0">
      <w:start w:val="1"/>
      <w:numFmt w:val="decimal"/>
      <w:lvlText w:val="2.4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5">
    <w:lvl w:ilvl="0">
      <w:start w:val="1"/>
      <w:numFmt w:val="decimal"/>
      <w:lvlText w:val="5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97" w:hanging="360"/>
      </w:pPr>
      <w:rPr>
        <w:rFonts w:ascii="Wingdings" w:hAnsi="Wingdings" w:cs="Wingdings" w:hint="default"/>
      </w:r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29"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1">
    <w:lvl w:ilvl="0">
      <w:start w:val="1"/>
      <w:numFmt w:val="decimal"/>
      <w:lvlText w:val="4.%1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</w:numbering>
</file>

<file path=word/settings.xml><?xml version="1.0" encoding="utf-8"?>
<w:settings xmlns:w="http://schemas.openxmlformats.org/wordprocessingml/2006/main">
  <w:zoom w:percent="18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pPr>
      <w:keepNext w:val="true"/>
      <w:tabs>
        <w:tab w:val="clear" w:pos="708"/>
        <w:tab w:val="left" w:pos="0" w:leader="none"/>
        <w:tab w:val="left" w:pos="735" w:leader="none"/>
        <w:tab w:val="left" w:pos="960" w:leader="none"/>
      </w:tabs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qFormat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qFormat/>
    <w:rPr>
      <w:sz w:val="28"/>
    </w:rPr>
  </w:style>
  <w:style w:type="character" w:styleId="Style2" w:customStyle="1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qFormat/>
    <w:rPr>
      <w:i/>
      <w:iCs/>
    </w:rPr>
  </w:style>
  <w:style w:type="character" w:styleId="21" w:customStyle="1">
    <w:name w:val="Цитата 2 Знак"/>
    <w:link w:val="Quote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4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32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4" w:customStyle="1">
    <w:name w:val="Нижний колонтитул Знак"/>
    <w:basedOn w:val="DefaultParagraphFont"/>
    <w:qFormat/>
    <w:rPr>
      <w:sz w:val="28"/>
      <w:szCs w:val="28"/>
    </w:rPr>
  </w:style>
  <w:style w:type="character" w:styleId="Style15" w:customStyle="1">
    <w:name w:val="Ссылка указателя"/>
    <w:qFormat/>
    <w:rPr/>
  </w:style>
  <w:style w:type="character" w:styleId="Style16" w:customStyle="1">
    <w:name w:val="Маркеры"/>
    <w:qFormat/>
    <w:rPr>
      <w:rFonts w:ascii="Times New Roman" w:hAnsi="Times New Roman" w:eastAsia="OpenSymbol" w:cs="OpenSymbol"/>
      <w:sz w:val="28"/>
      <w:szCs w:val="28"/>
    </w:rPr>
  </w:style>
  <w:style w:type="character" w:styleId="Linenumber">
    <w:name w:val="line number"/>
    <w:qFormat/>
    <w:rPr/>
  </w:style>
  <w:style w:type="character" w:styleId="Style17" w:customStyle="1">
    <w:name w:val="Символ нумерации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Caption11111111" w:customStyle="1">
    <w:name w:val="caption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1" w:customStyle="1">
    <w:name w:val="index heading11111111"/>
    <w:basedOn w:val="Title"/>
    <w:qFormat/>
    <w:pPr/>
    <w:rPr/>
  </w:style>
  <w:style w:type="paragraph" w:styleId="Caption111111111" w:customStyle="1">
    <w:name w:val="caption1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11" w:customStyle="1">
    <w:name w:val="index heading111111111"/>
    <w:basedOn w:val="Title"/>
    <w:qFormat/>
    <w:pPr/>
    <w:rPr/>
  </w:style>
  <w:style w:type="paragraph" w:styleId="Style20" w:customStyle="1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21" w:customStyle="1">
    <w:name w:val="Раздел положения"/>
    <w:basedOn w:val="Normal"/>
    <w:autoRedefine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2" w:customStyle="1">
    <w:name w:val="Подраздел раздела положения"/>
    <w:basedOn w:val="Normal"/>
    <w:autoRedefine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qFormat/>
    <w:pPr>
      <w:jc w:val="center"/>
    </w:pPr>
    <w:rPr>
      <w:szCs w:val="20"/>
      <w:lang w:val="x-none" w:eastAsia="x-none"/>
    </w:rPr>
  </w:style>
  <w:style w:type="paragraph" w:styleId="Style23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4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Style25" w:customStyle="1">
    <w:name w:val="Раздел регламента"/>
    <w:basedOn w:val="Normal"/>
    <w:qFormat/>
    <w:pPr/>
    <w:rPr/>
  </w:style>
  <w:style w:type="paragraph" w:styleId="Style26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autoRedefine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16" w:customStyle="1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pPr>
      <w:ind w:left="1960" w:hanging="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autoRedefine/>
    <w:pPr>
      <w:ind w:left="840" w:hanging="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1111111111" w:customStyle="1">
    <w:name w:val="caption111111111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qFormat/>
    <w:pPr/>
    <w:rPr>
      <w:rFonts w:eastAsia="Calibri"/>
      <w:sz w:val="24"/>
      <w:szCs w:val="24"/>
      <w:lang w:val="x-none" w:eastAsia="x-none"/>
    </w:rPr>
  </w:style>
  <w:style w:type="paragraph" w:styleId="Style2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0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1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2" w:customStyle="1">
    <w:name w:val="Подподпункт"/>
    <w:basedOn w:val="Style24"/>
    <w:link w:val="Style9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3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4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tabs>
        <w:tab w:val="clear" w:pos="0"/>
        <w:tab w:val="clear" w:pos="735"/>
        <w:tab w:val="clear" w:pos="96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5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pPr>
      <w:ind w:left="1120" w:hanging="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autoRedefine/>
    <w:pPr>
      <w:ind w:left="1400" w:hanging="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autoRedefine/>
    <w:pPr>
      <w:ind w:left="1680" w:hanging="0"/>
    </w:pPr>
    <w:rPr>
      <w:rFonts w:ascii="Calibri" w:hAnsi="Calibri" w:cs="Calibri"/>
      <w:sz w:val="20"/>
      <w:szCs w:val="20"/>
    </w:rPr>
  </w:style>
  <w:style w:type="paragraph" w:styleId="Toaheading">
    <w:name w:val="toa heading"/>
    <w:basedOn w:val="Normal"/>
    <w:next w:val="Normal"/>
    <w:qFormat/>
    <w:pPr>
      <w:spacing w:before="120" w:after="0"/>
    </w:pPr>
    <w:rPr>
      <w:rFonts w:ascii="Calibri Light" w:hAnsi="Calibri Light"/>
      <w:b/>
      <w:bCs/>
      <w:sz w:val="24"/>
      <w:szCs w:val="24"/>
    </w:rPr>
  </w:style>
  <w:style w:type="paragraph" w:styleId="Style36" w:customStyle="1">
    <w:name w:val="Содержимое врезки"/>
    <w:basedOn w:val="Normal"/>
    <w:qFormat/>
    <w:pPr/>
    <w:rPr/>
  </w:style>
  <w:style w:type="paragraph" w:styleId="Style37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8" w:customStyle="1">
    <w:name w:val="Заголовок таблицы"/>
    <w:basedOn w:val="Style37"/>
    <w:qFormat/>
    <w:pPr>
      <w:jc w:val="center"/>
    </w:pPr>
    <w:rPr>
      <w:b/>
      <w:bCs/>
    </w:rPr>
  </w:style>
  <w:style w:type="paragraph" w:styleId="Style39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qFormat/>
  </w:style>
  <w:style w:type="numbering" w:styleId="29" w:customStyle="1">
    <w:name w:val="Стиль2"/>
    <w:qFormat/>
  </w:style>
  <w:style w:type="numbering" w:styleId="19494784021" w:customStyle="1">
    <w:name w:val="19494784021"/>
    <w:qFormat/>
  </w:style>
  <w:style w:type="numbering" w:styleId="883559781" w:customStyle="1">
    <w:name w:val="883559781"/>
    <w:qFormat/>
  </w:style>
  <w:style w:type="numbering" w:styleId="27657851721" w:customStyle="1">
    <w:name w:val="2765785172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Application>AlterOffice/2025.3.1.0$Linux_X86_64 LibreOffice_project/6648c49ab2ca125dff246c75ec00a85a64baa8dd</Application>
  <AppVersion>15.0000</AppVersion>
  <Pages>16</Pages>
  <Words>3365</Words>
  <Characters>22940</Characters>
  <CharactersWithSpaces>25910</CharactersWithSpaces>
  <Paragraphs>387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2025-08-27T16:06:00Z</dcterms:created>
  <dc:creator>Быстров Олег Геннадьевич</dc:creator>
  <dc:description/>
  <dc:language>ru-RU</dc:language>
  <cp:lastModifiedBy/>
  <cp:lastPrinted>2026-01-15T11:40:00Z</cp:lastPrinted>
  <dcterms:modified xsi:type="dcterms:W3CDTF">2026-08-19T15:24:04Z</dcterms:modified>
  <cp:revision>31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